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Social og faglig udtalelse - kommende 1. – 9. klasse elever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Barnets navn: _____________________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Barnets cpr nummer: _____________________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I forbindelse med ansøgning om optagelse på Det Kongelige Teater Balletskolen Odense bedes barnets nuværende skole vurdere barnet på følgende områder: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tbl>
      <w:tblPr>
        <w:tblStyle w:val="Table1"/>
        <w:bidiVisual w:val="0"/>
        <w:tblW w:w="89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00"/>
        <w:gridCol w:w="4410"/>
        <w:tblGridChange w:id="0">
          <w:tblGrid>
            <w:gridCol w:w="4500"/>
            <w:gridCol w:w="44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Faglig vurdering: dansk, matematik, evt. andre fag, evt. specialundervisning. evt. resultater af faglige prøver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Skolefravær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Motivation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Opmærksomhed/koncentration/hukommelse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Elevens selvindsigt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Sociale kompetencer: herunder adfærd, kontakt til voksne og kammerater, kravsituationer, fleksibilitet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Trivsel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Skole-hjem samarbejdet.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Barnets navn: _____________________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 Barnets cpr nummer: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tbl>
      <w:tblPr>
        <w:tblStyle w:val="Table2"/>
        <w:bidiVisual w:val="0"/>
        <w:tblW w:w="89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125"/>
        <w:gridCol w:w="4785"/>
        <w:tblGridChange w:id="0">
          <w:tblGrid>
            <w:gridCol w:w="4125"/>
            <w:gridCol w:w="47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Elevens fritid: går eleven i fritidsordning/klub? Deltager eleven i organiserede fritidsinteresser/andet?</w:t>
            </w:r>
          </w:p>
          <w:p w:rsidR="00000000" w:rsidDel="00000000" w:rsidP="00000000" w:rsidRDefault="00000000" w:rsidRPr="00000000">
            <w:pPr>
              <w:keepNext w:val="1"/>
              <w:widowControl w:val="0"/>
              <w:spacing w:after="60" w:before="240" w:line="240" w:lineRule="auto"/>
              <w:contextualSpacing w:val="0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18"/>
                <w:szCs w:val="1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ind w:left="-140" w:firstLine="0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Andre forhold som Balletskolen skal være opmærksomme på (adfærd, tidligere støtte, kroniske sygdomme o.a.):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______________________                                                     </w:t>
        <w:tab/>
        <w:t xml:space="preserve">______________________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Underskrift Forældre                                            </w:t>
        <w:tab/>
        <w:t xml:space="preserve">                 Underskrift Skole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Kontaktdata på Skolens repræsentant: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Navn: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Telefon: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Mailadresse: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widowControl w:val="0"/>
        <w:spacing w:after="60" w:before="240" w:line="240" w:lineRule="auto"/>
        <w:contextualSpacing w:val="0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Proxima Nova" w:cs="Proxima Nova" w:eastAsia="Proxima Nova" w:hAnsi="Proxima Nova"/>
        <w:color w:val="e4003c"/>
        <w:sz w:val="20"/>
        <w:szCs w:val="20"/>
        <w:highlight w:val="white"/>
      </w:rPr>
    </w:pPr>
    <w:r w:rsidDel="00000000" w:rsidR="00000000" w:rsidRPr="00000000">
      <w:rPr>
        <w:rFonts w:ascii="Proxima Nova" w:cs="Proxima Nova" w:eastAsia="Proxima Nova" w:hAnsi="Proxima Nova"/>
        <w:color w:val="e4003c"/>
        <w:sz w:val="20"/>
        <w:szCs w:val="20"/>
        <w:rtl w:val="0"/>
      </w:rPr>
      <w:t xml:space="preserve">DET KONGELIGE TEATER BALLETSKOLEN ODENSE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Proxima Nova" w:cs="Proxima Nova" w:eastAsia="Proxima Nova" w:hAnsi="Proxima Nova"/>
        <w:color w:val="434343"/>
        <w:sz w:val="20"/>
        <w:szCs w:val="20"/>
        <w:highlight w:val="white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highlight w:val="white"/>
        <w:rtl w:val="0"/>
      </w:rPr>
      <w:t xml:space="preserve">The Royal Danish Theatre Ballet School Odense</w:t>
    </w:r>
  </w:p>
  <w:p w:rsidR="00000000" w:rsidDel="00000000" w:rsidP="00000000" w:rsidRDefault="00000000" w:rsidRPr="00000000">
    <w:pPr>
      <w:spacing w:line="240" w:lineRule="auto"/>
      <w:ind w:left="2160" w:firstLine="720"/>
      <w:contextualSpacing w:val="0"/>
      <w:rPr>
        <w:rFonts w:ascii="Proxima Nova" w:cs="Proxima Nova" w:eastAsia="Proxima Nova" w:hAnsi="Proxima Nova"/>
        <w:color w:val="434343"/>
        <w:sz w:val="20"/>
        <w:szCs w:val="20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Jernbanegade 20     DK-5000    Odense C</w:t>
    </w:r>
  </w:p>
  <w:p w:rsidR="00000000" w:rsidDel="00000000" w:rsidP="00000000" w:rsidRDefault="00000000" w:rsidRPr="00000000">
    <w:pPr>
      <w:spacing w:line="240" w:lineRule="auto"/>
      <w:contextualSpacing w:val="0"/>
      <w:jc w:val="center"/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Telefon: 63 12 32 12   E-mail:</w:t>
    </w:r>
    <w:r w:rsidDel="00000000" w:rsidR="00000000" w:rsidRPr="00000000">
      <w:rPr>
        <w:rFonts w:ascii="Proxima Nova" w:cs="Proxima Nova" w:eastAsia="Proxima Nova" w:hAnsi="Proxima Nova"/>
        <w:color w:val="434343"/>
        <w:sz w:val="24"/>
        <w:szCs w:val="24"/>
        <w:rtl w:val="0"/>
      </w:rPr>
      <w:t xml:space="preserve"> </w:t>
    </w:r>
    <w:hyperlink r:id="rId1">
      <w:r w:rsidDel="00000000" w:rsidR="00000000" w:rsidRPr="00000000">
        <w:rPr>
          <w:rFonts w:ascii="Proxima Nova" w:cs="Proxima Nova" w:eastAsia="Proxima Nova" w:hAnsi="Proxima Nova"/>
          <w:color w:val="434343"/>
          <w:sz w:val="20"/>
          <w:szCs w:val="20"/>
          <w:rtl w:val="0"/>
        </w:rPr>
        <w:t xml:space="preserve">post@kglteater-odense.dk</w:t>
      </w:r>
    </w:hyperlink>
    <w:r w:rsidDel="00000000" w:rsidR="00000000" w:rsidRPr="00000000">
      <w:rPr>
        <w:rFonts w:ascii="Proxima Nova" w:cs="Proxima Nova" w:eastAsia="Proxima Nova" w:hAnsi="Proxima Nova"/>
        <w:color w:val="434343"/>
        <w:sz w:val="20"/>
        <w:szCs w:val="20"/>
        <w:rtl w:val="0"/>
      </w:rPr>
      <w:t xml:space="preserve">   CVR: 26804493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rPr/>
    </w:pPr>
    <w:r w:rsidDel="00000000" w:rsidR="00000000" w:rsidRPr="00000000">
      <w:drawing>
        <wp:inline distB="114300" distT="114300" distL="114300" distR="114300">
          <wp:extent cx="1583714" cy="78581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3714" cy="78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ost@balletskolen-odense.d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